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20:19 МСК · База обновлена: 27.08.2026, 20:15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СТРУКТУРНЫМ ЭЛЕМЕНТАМ ГОСУДАРСТВЕННОГО ИНФОРМАЦИОННОГО СТАНДАРТА ЛЕКАРСТВЕННЫХ СРЕДСТВ, СОДЕРЖАЩИМ ОФИЦИАЛЬНУЮ ИНФОРМАЦИЮ О ЛЕКАРСТВЕННОМ СРЕДСТВЕ, РАЗРЕШЕННОМ К МЕДИЦИНСКОМУ ПРИМЕНЕНИЮ, НЕ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клинико-фармакологическая статья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паспорт лекарственного препарата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Государственный реестр лекарственных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фармакопейная статья лекарственного средства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Государственный реестр лекарственных средств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БЕЗ ПРИМЕНЕНИЯ СТАБИЛИЗАТОРА В АПТЕКЕ МОЖЕТ БЫТЬ ИЗГОТОВЛЕНА СУСПЕНЗИЯ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фурацилина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цинка оксида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анестезина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цинка оксида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ВЫБОРЕ НОМЕРА СТУПКИ ОРИЕНТИРУЮТСЯ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максимальные загрузки ступок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минимальные загрузки ступок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оптимальные загрузки ступок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время измельчения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оптимальные загрузки ступок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ГАЛЕНОВЫМ ПРЕПАРАТАМ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микстуры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болюсы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спансулы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настойки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настойки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АРДУАН ОТНОСИТСЯ 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миорелаксантам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М-холиномиметикам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М-холиноблокаторам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ганглиоблокаторам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миорелаксантам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ИСКЛЮЧЕНИЯ ОТКАЗОВ ПОКУПАТЕЛЯМ И ФОРМИРОВАНИЯ ПОЛОЖИТЕЛЬНОГО ИМИДЖА АПТЕЧНОЙ ОРГАНИЗАЦИИ НЕОБХОДИМО ЕЖЕДНЕВНО РЕГИСТРИРОВАТЬ СПРОС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угасающий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сезонный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неудовлетворённый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действительный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неудовлетворённый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НИЗКОМОЛЕКУЛЯРНЫМ ГЕПАРИНАМ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Фраксипарин, Эноксапарин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Гепарин, Гирудин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Неодикумарин, Синкумар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Варфарин, Фениндион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Фраксипарин, Эноксапарин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ТРАВА СУШЕНИЦЫ ТОПЯНОЙ СОДЕРЖИТ БИОЛОГИЧЕСКИ АКТИВНЫЕ СОЕДИНЕНИЯ, ОПРЕДЕЛЯЮЩИЕ ФАРМАКОЛОГИЧЕСКОЕ ДЕЙСТВИЕ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полисахариды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лигнаны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алкалоиды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флавоноиды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флавоноиды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ХАРАКТЕРНОЙ РЕАКЦИЕЙ НА ФЛАВОНОИДЫ (ЗА ИСКЛЮЧЕНИЕМ ХАЛКОНОВ И АУРОНОВ)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реакция Борнтрегера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цианидиновая проба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реакция гемолиза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пенообразование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цианидиновая проба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НАИБОЛЕЕ ПРОЧНОЙ ФОРМЕ СВЯЗИ ВОДЫ В МАТЕРИАЛЕ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физико-химическую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физико-механическую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влагу макрокапилляров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химическую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